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E24B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lang w:val="en-US" w:eastAsia="zh-CN"/>
        </w:rPr>
      </w:pPr>
      <w:bookmarkStart w:id="0" w:name="_Toc3988"/>
      <w:bookmarkStart w:id="1" w:name="_Toc12193"/>
      <w:bookmarkStart w:id="2" w:name="_Toc12668"/>
      <w:r>
        <w:rPr>
          <w:rFonts w:hint="eastAsia" w:ascii="方正小标宋_GBK" w:hAnsi="方正小标宋_GBK" w:eastAsia="方正小标宋_GBK" w:cs="方正小标宋_GBK"/>
          <w:color w:val="auto"/>
          <w:sz w:val="44"/>
          <w:szCs w:val="44"/>
          <w:lang w:val="en-US" w:eastAsia="zh-CN"/>
        </w:rPr>
        <w:t>2025年财务收支及年报审计采购需求</w:t>
      </w:r>
      <w:bookmarkEnd w:id="0"/>
      <w:bookmarkEnd w:id="1"/>
      <w:bookmarkEnd w:id="2"/>
    </w:p>
    <w:p w14:paraId="3833E48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p>
    <w:p w14:paraId="49DBE74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一、项目概述</w:t>
      </w:r>
    </w:p>
    <w:p w14:paraId="22B47C8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拟询价采购一家专业机构出具本院2025年财务收支、年报审计报告，对医院的财务活动进行全面、系统、客观、独立的审查和评价，确保财务信息的可靠性、规范性和透明度，为医院战略规划和内部管理提供参考。项目总预算3.5万元。</w:t>
      </w:r>
    </w:p>
    <w:p w14:paraId="4EBBE29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二、技术服务要求</w:t>
      </w:r>
    </w:p>
    <w:p w14:paraId="7B06B1D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（一）审计医院2025年财务收支及年报，</w:t>
      </w:r>
      <w:r>
        <w:rPr>
          <w:rFonts w:hint="eastAsia" w:ascii="仿宋_GB2312" w:hAnsi="仿宋_GB2312" w:eastAsia="仿宋_GB2312" w:cs="仿宋_GB2312"/>
          <w:b w:val="0"/>
          <w:bCs w:val="0"/>
          <w:color w:val="auto"/>
          <w:sz w:val="32"/>
          <w:szCs w:val="32"/>
        </w:rPr>
        <w:t>按</w:t>
      </w:r>
      <w:r>
        <w:rPr>
          <w:rFonts w:hint="eastAsia" w:ascii="仿宋_GB2312" w:hAnsi="仿宋_GB2312" w:eastAsia="仿宋_GB2312" w:cs="仿宋_GB2312"/>
          <w:b w:val="0"/>
          <w:bCs w:val="0"/>
          <w:color w:val="auto"/>
          <w:sz w:val="32"/>
          <w:szCs w:val="32"/>
          <w:lang w:val="en-US" w:eastAsia="zh-CN"/>
        </w:rPr>
        <w:t>审计法等相关</w:t>
      </w:r>
      <w:r>
        <w:rPr>
          <w:rFonts w:hint="eastAsia" w:ascii="仿宋_GB2312" w:hAnsi="仿宋_GB2312" w:eastAsia="仿宋_GB2312" w:cs="仿宋_GB2312"/>
          <w:b w:val="0"/>
          <w:bCs w:val="0"/>
          <w:color w:val="auto"/>
          <w:sz w:val="32"/>
          <w:szCs w:val="32"/>
        </w:rPr>
        <w:t>规定完成审计工作并出具审计报告</w:t>
      </w:r>
      <w:r>
        <w:rPr>
          <w:rFonts w:hint="eastAsia" w:ascii="仿宋_GB2312" w:hAnsi="仿宋_GB2312" w:eastAsia="仿宋_GB2312" w:cs="仿宋_GB2312"/>
          <w:b w:val="0"/>
          <w:bCs w:val="0"/>
          <w:color w:val="auto"/>
          <w:sz w:val="32"/>
          <w:szCs w:val="32"/>
          <w:lang w:val="en-US" w:eastAsia="zh-CN"/>
        </w:rPr>
        <w:t>，纸质报告</w:t>
      </w:r>
      <w:r>
        <w:rPr>
          <w:rFonts w:hint="eastAsia" w:ascii="仿宋_GB2312" w:hAnsi="仿宋_GB2312" w:eastAsia="仿宋_GB2312" w:cs="仿宋_GB2312"/>
          <w:b w:val="0"/>
          <w:bCs w:val="0"/>
          <w:color w:val="auto"/>
          <w:sz w:val="32"/>
          <w:szCs w:val="32"/>
        </w:rPr>
        <w:t>一式</w:t>
      </w:r>
      <w:r>
        <w:rPr>
          <w:rFonts w:hint="eastAsia" w:ascii="仿宋_GB2312" w:hAnsi="仿宋_GB2312" w:eastAsia="仿宋_GB2312" w:cs="仿宋_GB2312"/>
          <w:b w:val="0"/>
          <w:bCs w:val="0"/>
          <w:color w:val="auto"/>
          <w:sz w:val="32"/>
          <w:szCs w:val="32"/>
          <w:lang w:val="en-US" w:eastAsia="zh-CN"/>
        </w:rPr>
        <w:t>两</w:t>
      </w:r>
      <w:r>
        <w:rPr>
          <w:rFonts w:hint="eastAsia" w:ascii="仿宋_GB2312" w:hAnsi="仿宋_GB2312" w:eastAsia="仿宋_GB2312" w:cs="仿宋_GB2312"/>
          <w:b w:val="0"/>
          <w:bCs w:val="0"/>
          <w:color w:val="auto"/>
          <w:sz w:val="32"/>
          <w:szCs w:val="32"/>
        </w:rPr>
        <w:t>份，电子资料一式一份</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内容包括不限于以下内容：</w:t>
      </w:r>
    </w:p>
    <w:p w14:paraId="36CE816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1.内部控制制度建立和执行情况（非绩效评价）</w:t>
      </w:r>
    </w:p>
    <w:p w14:paraId="28C29F1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（1）预算控制制度建立和执行情况。</w:t>
      </w:r>
    </w:p>
    <w:p w14:paraId="321242C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（2）不相容岗位分离制度建立和执行情况。</w:t>
      </w:r>
    </w:p>
    <w:p w14:paraId="7F4FE5D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（3）内部授权审批控制制度建立和执行情况。</w:t>
      </w:r>
    </w:p>
    <w:p w14:paraId="6B05927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（4）业务流程控制制度建立和执行情况。是否明确各项经济活动流程中的计划、审批、执行监督等环节要求并严格执行。</w:t>
      </w:r>
    </w:p>
    <w:p w14:paraId="01F1A06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（5）资产保护控制制度建立和执行情况。是否建立资产日常管理和定期清查制度，保证资产安全完整。</w:t>
      </w:r>
    </w:p>
    <w:p w14:paraId="00CD444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（6）会计系统控制制度建立和执行情况。是否建立健全单位会计管理制度，强化会计人员岗位责任制，规范会计基础工作。</w:t>
      </w:r>
    </w:p>
    <w:p w14:paraId="7589EB6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（7）信息技术控制制度建立和执行情况。</w:t>
      </w:r>
    </w:p>
    <w:p w14:paraId="4610536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2.预算管理情况</w:t>
      </w:r>
    </w:p>
    <w:p w14:paraId="242BE11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（1）全面预算管理实行情况。</w:t>
      </w:r>
    </w:p>
    <w:p w14:paraId="0E3E658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（2）预算编制、审批、调整程序是否符合规定。</w:t>
      </w:r>
    </w:p>
    <w:p w14:paraId="1C5663F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（3）预算执行情况。</w:t>
      </w:r>
    </w:p>
    <w:p w14:paraId="5EDA666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（4）遵守“三公经费”管理规定情况。</w:t>
      </w:r>
    </w:p>
    <w:p w14:paraId="1B94BE2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（5）决算编制情况。</w:t>
      </w:r>
    </w:p>
    <w:p w14:paraId="2C0E7C3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（6）预算执行结果的分析和考核情况。</w:t>
      </w:r>
    </w:p>
    <w:p w14:paraId="4C205C5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3.财务收支管理情况</w:t>
      </w:r>
    </w:p>
    <w:p w14:paraId="5BD616A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（1）年度收入、支出、结余情况。</w:t>
      </w:r>
    </w:p>
    <w:p w14:paraId="3597190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（2）成本核算与控制情况。</w:t>
      </w:r>
    </w:p>
    <w:p w14:paraId="3B98A0A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（3）专项经费使用管理情况。</w:t>
      </w:r>
    </w:p>
    <w:p w14:paraId="267DC99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（4）票据使用的规范性。</w:t>
      </w:r>
    </w:p>
    <w:p w14:paraId="056DEC7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（5）国家物价政策执行情况。</w:t>
      </w:r>
    </w:p>
    <w:p w14:paraId="64B4ED7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（6）国家和医院有关财务规章制度规定的开支范围及开支标准执行情况。</w:t>
      </w:r>
    </w:p>
    <w:p w14:paraId="4813163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4.采购合法合规情况</w:t>
      </w:r>
    </w:p>
    <w:p w14:paraId="1473AB5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（1）制度遵守情况。是否按照《深圳经济特区政府采购条例》及有关部门的招标、采购管理规定执行，尤其是在新冠疫情紧急情况下，对专用设备、医用耗材、药品等的采购是否存在不合规情况。</w:t>
      </w:r>
    </w:p>
    <w:p w14:paraId="48373C5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（2）自行招标、采购流程是否规范。</w:t>
      </w:r>
    </w:p>
    <w:p w14:paraId="47E4D9B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（3）重点审计医用耗材采购是否规范。</w:t>
      </w:r>
    </w:p>
    <w:p w14:paraId="737F455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5.公立医院财务报告审计</w:t>
      </w:r>
    </w:p>
    <w:p w14:paraId="4E8680B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对医院2025年度财务会计报表及附注、预算会计报表进行审计。</w:t>
      </w:r>
    </w:p>
    <w:p w14:paraId="77263E1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6.货款支付情况</w:t>
      </w:r>
    </w:p>
    <w:p w14:paraId="10606A6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对药品款、耗材款、设备款等采购款项的支付情况进行审计，检查是否存在不及时支付供应商货款情况。</w:t>
      </w:r>
    </w:p>
    <w:p w14:paraId="7A388C9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7.资产管理和闲置情况</w:t>
      </w:r>
    </w:p>
    <w:p w14:paraId="5B12753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（1）检查设备、医用耗材、药品管理的制度建设情况。</w:t>
      </w:r>
    </w:p>
    <w:p w14:paraId="63F69AB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（2）国有资产出租、出借使用情况和政府物业出租情况。</w:t>
      </w:r>
    </w:p>
    <w:p w14:paraId="3720F2F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（3）国有资产使用管理情况，重点是房屋构筑物、大型医疗仪器设备、车辆等实物资产，结合效益分析等方法，检查资产（尤其是大型医疗设备）是否存在闲置情况。</w:t>
      </w:r>
    </w:p>
    <w:p w14:paraId="7EBF923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（4）检查固定资产盘点制度建设、制度执行情况，账账、账实、账卡相符情况，以及不定期抽盘结果。</w:t>
      </w:r>
    </w:p>
    <w:p w14:paraId="7E7AC73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（5）往来款项是否存在长期挂账，预付账款是否真实存在，是否按协议或合同执行。</w:t>
      </w:r>
    </w:p>
    <w:p w14:paraId="0BECA42F">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（二）供应商</w:t>
      </w:r>
      <w:r>
        <w:rPr>
          <w:rFonts w:hint="eastAsia" w:ascii="仿宋_GB2312" w:hAnsi="仿宋_GB2312" w:eastAsia="仿宋_GB2312" w:cs="仿宋_GB2312"/>
          <w:b w:val="0"/>
          <w:bCs w:val="0"/>
          <w:color w:val="auto"/>
          <w:sz w:val="32"/>
          <w:szCs w:val="32"/>
        </w:rPr>
        <w:t>对</w:t>
      </w:r>
      <w:r>
        <w:rPr>
          <w:rFonts w:hint="eastAsia" w:ascii="仿宋_GB2312" w:hAnsi="仿宋_GB2312" w:eastAsia="仿宋_GB2312" w:cs="仿宋_GB2312"/>
          <w:b w:val="0"/>
          <w:bCs w:val="0"/>
          <w:color w:val="auto"/>
          <w:sz w:val="32"/>
          <w:szCs w:val="32"/>
          <w:lang w:val="en-US" w:eastAsia="zh-CN"/>
        </w:rPr>
        <w:t>审计</w:t>
      </w:r>
      <w:r>
        <w:rPr>
          <w:rFonts w:hint="eastAsia" w:ascii="仿宋_GB2312" w:hAnsi="仿宋_GB2312" w:eastAsia="仿宋_GB2312" w:cs="仿宋_GB2312"/>
          <w:b w:val="0"/>
          <w:bCs w:val="0"/>
          <w:color w:val="auto"/>
          <w:sz w:val="32"/>
          <w:szCs w:val="32"/>
        </w:rPr>
        <w:t>报告的客观性、独立性、真实性负责</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同时对所接触资料数</w:t>
      </w:r>
      <w:r>
        <w:rPr>
          <w:rFonts w:hint="eastAsia" w:ascii="仿宋_GB2312" w:hAnsi="仿宋_GB2312" w:eastAsia="仿宋_GB2312" w:cs="仿宋_GB2312"/>
          <w:b w:val="0"/>
          <w:bCs w:val="0"/>
          <w:color w:val="auto"/>
          <w:sz w:val="32"/>
          <w:szCs w:val="32"/>
          <w:highlight w:val="none"/>
          <w:lang w:val="en-US" w:eastAsia="zh-CN"/>
        </w:rPr>
        <w:t>据等严格遵守保</w:t>
      </w:r>
      <w:r>
        <w:rPr>
          <w:rFonts w:hint="eastAsia" w:ascii="仿宋_GB2312" w:hAnsi="仿宋_GB2312" w:eastAsia="仿宋_GB2312" w:cs="仿宋_GB2312"/>
          <w:b w:val="0"/>
          <w:bCs w:val="0"/>
          <w:color w:val="auto"/>
          <w:sz w:val="32"/>
          <w:szCs w:val="32"/>
          <w:lang w:val="en-US" w:eastAsia="zh-CN"/>
        </w:rPr>
        <w:t>密规定并签署保密协议</w:t>
      </w:r>
      <w:r>
        <w:rPr>
          <w:rFonts w:hint="eastAsia" w:ascii="仿宋_GB2312" w:hAnsi="仿宋_GB2312" w:eastAsia="仿宋_GB2312" w:cs="仿宋_GB2312"/>
          <w:b w:val="0"/>
          <w:bCs w:val="0"/>
          <w:color w:val="auto"/>
          <w:sz w:val="32"/>
          <w:szCs w:val="32"/>
        </w:rPr>
        <w:t>。</w:t>
      </w:r>
    </w:p>
    <w:p w14:paraId="5F0673B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三、商务要求</w:t>
      </w:r>
    </w:p>
    <w:p w14:paraId="7E4252A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1.完成期限：合同签订之日起</w:t>
      </w:r>
      <w:r>
        <w:rPr>
          <w:rFonts w:hint="eastAsia" w:ascii="仿宋_GB2312" w:hAnsi="仿宋_GB2312" w:eastAsia="仿宋_GB2312" w:cs="仿宋_GB2312"/>
          <w:sz w:val="32"/>
          <w:szCs w:val="32"/>
          <w:vertAlign w:val="baseline"/>
          <w:lang w:val="en-US" w:eastAsia="zh-CN"/>
        </w:rPr>
        <w:t>2个月内完成审计并出具符合要求的审计报告</w:t>
      </w:r>
      <w:r>
        <w:rPr>
          <w:rFonts w:hint="eastAsia" w:ascii="仿宋_GB2312" w:hAnsi="仿宋_GB2312" w:eastAsia="仿宋_GB2312" w:cs="仿宋_GB2312"/>
          <w:b w:val="0"/>
          <w:bCs w:val="0"/>
          <w:color w:val="auto"/>
          <w:sz w:val="32"/>
          <w:szCs w:val="32"/>
          <w:lang w:val="en-US" w:eastAsia="zh-CN"/>
        </w:rPr>
        <w:t>。</w:t>
      </w:r>
    </w:p>
    <w:p w14:paraId="6D3AA97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2.履约地点：深圳市口腔医院指定地点。</w:t>
      </w:r>
    </w:p>
    <w:p w14:paraId="6FA488D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履约方式：成交供应商与采购人签订合同后，合同双方应严格执行合同条款，履行合同规定的义务，保证合同的顺利完成。在合同履行过程中，如发生合同纠纷，合同双方应按照《中华人民共和国民法典》的有关规定进行处理。</w:t>
      </w:r>
    </w:p>
    <w:p w14:paraId="06EE87D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4.付款方式：按审计规定完成审计工作并出具经采购人确认的审计报告和合法有效完整的完税发票及凭证资料后30个工作日内采购人支付合同金额的100%。</w:t>
      </w:r>
    </w:p>
    <w:p w14:paraId="1663A60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val="0"/>
          <w:bCs w:val="0"/>
          <w:color w:val="auto"/>
          <w:sz w:val="32"/>
          <w:szCs w:val="32"/>
          <w:lang w:val="en-US" w:eastAsia="zh-CN"/>
        </w:rPr>
        <w:t>5.报价说明：本项目按金额报价，报价应为包干价，供应商的最终报价应包含本项目涉及的全部费用，包含管理费、人工费、检测费、税费等全部费用，采购人不再支付其它任何费用。</w:t>
      </w:r>
    </w:p>
    <w:p w14:paraId="4C54730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四、资质要求</w:t>
      </w:r>
    </w:p>
    <w:p w14:paraId="1B212C0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（一）提供有效期内营业执照（盖章扫描件）</w:t>
      </w:r>
    </w:p>
    <w:p w14:paraId="4B452F5A">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3DB2612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（二）提供《会计师事务所执业证书》或《会计师事务所分所执业证书》（盖章扫描件）</w:t>
      </w:r>
      <w:bookmarkStart w:id="3" w:name="_GoBack"/>
      <w:bookmarkEnd w:id="3"/>
    </w:p>
    <w:p w14:paraId="3B72721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提供在有效期内的证书复印件，如证书上未体现年检记录或有效期的，需同时提供发证机构官方网站显示的年检或有效期的截图作为证明材料；2.如国家另有规定，则适用其规定，投标人提供相关证明材料，如有效的资质证书及相关政府部门的规定。</w:t>
      </w:r>
    </w:p>
    <w:p w14:paraId="2E7B7EB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（三）供应商提供自2021年1月1日至今类似业绩证明材料。（如中标（成交）通知书或合同复印件等盖供应商公章）</w:t>
      </w:r>
    </w:p>
    <w:p w14:paraId="105069E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（四）本项目不接受联合体投标。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DC1E14"/>
    <w:rsid w:val="04676E3E"/>
    <w:rsid w:val="17DC1E14"/>
    <w:rsid w:val="2AF4778E"/>
    <w:rsid w:val="2F0957D2"/>
    <w:rsid w:val="36BF6F03"/>
    <w:rsid w:val="389F7D64"/>
    <w:rsid w:val="4C557DF9"/>
    <w:rsid w:val="502A762A"/>
    <w:rsid w:val="53FF0DCE"/>
    <w:rsid w:val="5FC15189"/>
    <w:rsid w:val="6AFB1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1476</Words>
  <Characters>1509</Characters>
  <Lines>0</Lines>
  <Paragraphs>0</Paragraphs>
  <TotalTime>3</TotalTime>
  <ScaleCrop>false</ScaleCrop>
  <LinksUpToDate>false</LinksUpToDate>
  <CharactersWithSpaces>1509</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2025-06-26T07:36:00Z</dcterms:created>
  <dc:creator>梁诗敏</dc:creator>
  <cp:lastModifiedBy>ahaha</cp:lastModifiedBy>
  <cp:lastPrinted>2026-07-06T06:29:52Z</cp:lastPrinted>
  <dcterms:modified xsi:type="dcterms:W3CDTF">2026-07-07T03:00:36Z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594DAA83FB024786964B1C1C4D0030A0_11</vt:lpwstr>
  </property>
  <property fmtid="{D5CDD505-2E9C-101B-9397-08002B2CF9AE}" pid="4" name="KSOTemplateDocerSaveRecord">
    <vt:lpwstr>eyJoZGlkIjoiYTBkNzhmNmMyYmY3NjQ4ZDZkMDhmN2U2NDE1MmIzNDUiLCJ1c2VySWQiOiIxNDc0MTYxODk2In0=</vt:lpwstr>
  </property>
</Properties>
</file>