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CF250">
      <w:pPr>
        <w:pStyle w:val="9"/>
        <w:numPr>
          <w:ilvl w:val="0"/>
          <w:numId w:val="0"/>
        </w:numPr>
        <w:spacing w:line="560" w:lineRule="exact"/>
        <w:jc w:val="center"/>
        <w:rPr>
          <w:rFonts w:hint="default" w:ascii="方正公文小标宋" w:hAnsi="方正公文小标宋" w:eastAsia="方正公文小标宋" w:cs="方正公文小标宋"/>
          <w:sz w:val="44"/>
          <w:szCs w:val="44"/>
          <w:lang w:eastAsia="zh-CN"/>
        </w:rPr>
      </w:pPr>
      <w:r>
        <w:rPr>
          <w:rFonts w:hint="eastAsia" w:ascii="方正公文小标宋" w:hAnsi="方正公文小标宋" w:eastAsia="方正公文小标宋" w:cs="方正公文小标宋"/>
          <w:sz w:val="44"/>
          <w:szCs w:val="44"/>
          <w:lang w:val="en-US" w:eastAsia="zh-CN"/>
        </w:rPr>
        <w:t>深圳市口腔医院2026年劳务派遣服务项目询价方案</w:t>
      </w:r>
      <w:r>
        <w:rPr>
          <w:rFonts w:hint="default" w:ascii="方正公文小标宋" w:hAnsi="方正公文小标宋" w:eastAsia="方正公文小标宋" w:cs="方正公文小标宋"/>
          <w:sz w:val="44"/>
          <w:szCs w:val="44"/>
          <w:lang w:eastAsia="zh-CN"/>
        </w:rPr>
        <w:t>响应模板</w:t>
      </w:r>
    </w:p>
    <w:p w14:paraId="3ABD07A3">
      <w:pPr>
        <w:pStyle w:val="9"/>
        <w:numPr>
          <w:ilvl w:val="0"/>
          <w:numId w:val="0"/>
        </w:numPr>
        <w:spacing w:line="560" w:lineRule="exact"/>
        <w:jc w:val="center"/>
        <w:rPr>
          <w:rFonts w:hint="default" w:ascii="方正公文小标宋" w:hAnsi="方正公文小标宋" w:eastAsia="方正公文小标宋" w:cs="方正公文小标宋"/>
          <w:sz w:val="44"/>
          <w:szCs w:val="44"/>
          <w:lang w:val="en-US" w:eastAsia="zh-CN"/>
        </w:rPr>
      </w:pPr>
    </w:p>
    <w:p w14:paraId="160B5477">
      <w:pPr>
        <w:pStyle w:val="9"/>
        <w:numPr>
          <w:ilvl w:val="0"/>
          <w:numId w:val="1"/>
        </w:numPr>
        <w:spacing w:line="560" w:lineRule="exact"/>
        <w:rPr>
          <w:rFonts w:hint="eastAsia" w:ascii="黑体" w:hAnsi="黑体" w:eastAsia="黑体"/>
          <w:sz w:val="32"/>
          <w:szCs w:val="32"/>
        </w:rPr>
      </w:pPr>
      <w:r>
        <w:rPr>
          <w:rFonts w:hint="eastAsia" w:ascii="黑体" w:hAnsi="黑体" w:eastAsia="黑体"/>
          <w:sz w:val="32"/>
          <w:szCs w:val="32"/>
        </w:rPr>
        <w:t>项目</w:t>
      </w:r>
      <w:r>
        <w:rPr>
          <w:rFonts w:hint="eastAsia" w:ascii="黑体" w:hAnsi="黑体" w:eastAsia="黑体"/>
          <w:sz w:val="32"/>
          <w:szCs w:val="32"/>
          <w:lang w:val="en-US" w:eastAsia="zh-CN"/>
        </w:rPr>
        <w:t>清单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2680"/>
        <w:gridCol w:w="881"/>
        <w:gridCol w:w="759"/>
        <w:gridCol w:w="2081"/>
        <w:gridCol w:w="1420"/>
      </w:tblGrid>
      <w:tr w14:paraId="143C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699" w:type="dxa"/>
          </w:tcPr>
          <w:p w14:paraId="4C3A5F93">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2680" w:type="dxa"/>
          </w:tcPr>
          <w:p w14:paraId="3EF9787F">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项目内容</w:t>
            </w:r>
          </w:p>
        </w:tc>
        <w:tc>
          <w:tcPr>
            <w:tcW w:w="881" w:type="dxa"/>
          </w:tcPr>
          <w:p w14:paraId="724445BA">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单位</w:t>
            </w:r>
          </w:p>
        </w:tc>
        <w:tc>
          <w:tcPr>
            <w:tcW w:w="759" w:type="dxa"/>
          </w:tcPr>
          <w:p w14:paraId="4033D3ED">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数量</w:t>
            </w:r>
          </w:p>
        </w:tc>
        <w:tc>
          <w:tcPr>
            <w:tcW w:w="2081" w:type="dxa"/>
          </w:tcPr>
          <w:p w14:paraId="3F9B0C4E">
            <w:pPr>
              <w:spacing w:line="56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限价</w:t>
            </w:r>
          </w:p>
        </w:tc>
        <w:tc>
          <w:tcPr>
            <w:tcW w:w="1420" w:type="dxa"/>
          </w:tcPr>
          <w:p w14:paraId="79C3969D">
            <w:pPr>
              <w:spacing w:line="56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年预算</w:t>
            </w:r>
          </w:p>
        </w:tc>
      </w:tr>
      <w:tr w14:paraId="3829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99" w:type="dxa"/>
          </w:tcPr>
          <w:p w14:paraId="60D03360">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2680" w:type="dxa"/>
          </w:tcPr>
          <w:p w14:paraId="790BD4C1">
            <w:pPr>
              <w:spacing w:line="560" w:lineRule="exact"/>
              <w:jc w:val="center"/>
              <w:rPr>
                <w:rFonts w:hint="eastAsia" w:ascii="宋体" w:hAnsi="宋体" w:eastAsia="宋体" w:cs="宋体"/>
                <w:sz w:val="24"/>
                <w:szCs w:val="24"/>
              </w:rPr>
            </w:pPr>
            <w:r>
              <w:rPr>
                <w:rFonts w:hint="default" w:ascii="宋体" w:hAnsi="宋体" w:eastAsia="宋体" w:cs="宋体"/>
                <w:sz w:val="24"/>
                <w:szCs w:val="24"/>
                <w:lang w:eastAsia="zh-CN"/>
              </w:rPr>
              <w:t>2026年</w:t>
            </w:r>
            <w:r>
              <w:rPr>
                <w:rFonts w:hint="eastAsia" w:ascii="宋体" w:hAnsi="宋体" w:eastAsia="宋体" w:cs="宋体"/>
                <w:sz w:val="24"/>
                <w:szCs w:val="24"/>
                <w:lang w:val="en-US" w:eastAsia="zh-CN"/>
              </w:rPr>
              <w:t>劳务派遣</w:t>
            </w:r>
            <w:r>
              <w:rPr>
                <w:rFonts w:hint="eastAsia" w:ascii="宋体" w:hAnsi="宋体" w:eastAsia="宋体" w:cs="宋体"/>
                <w:sz w:val="24"/>
                <w:szCs w:val="24"/>
              </w:rPr>
              <w:t>服务</w:t>
            </w:r>
          </w:p>
        </w:tc>
        <w:tc>
          <w:tcPr>
            <w:tcW w:w="881" w:type="dxa"/>
          </w:tcPr>
          <w:p w14:paraId="0B1045B1">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项</w:t>
            </w:r>
          </w:p>
        </w:tc>
        <w:tc>
          <w:tcPr>
            <w:tcW w:w="759" w:type="dxa"/>
          </w:tcPr>
          <w:p w14:paraId="0A4E5412">
            <w:pPr>
              <w:spacing w:line="56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2081" w:type="dxa"/>
          </w:tcPr>
          <w:p w14:paraId="332236A5">
            <w:pPr>
              <w:spacing w:line="56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200元/人/月</w:t>
            </w:r>
          </w:p>
        </w:tc>
        <w:tc>
          <w:tcPr>
            <w:tcW w:w="1420" w:type="dxa"/>
          </w:tcPr>
          <w:p w14:paraId="3C639CCB">
            <w:pPr>
              <w:spacing w:line="56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48，000元</w:t>
            </w:r>
          </w:p>
        </w:tc>
      </w:tr>
    </w:tbl>
    <w:p w14:paraId="495A2ECD">
      <w:pPr>
        <w:pStyle w:val="9"/>
        <w:numPr>
          <w:ilvl w:val="0"/>
          <w:numId w:val="0"/>
        </w:numPr>
        <w:spacing w:line="560" w:lineRule="exact"/>
        <w:ind w:firstLine="640" w:firstLineChars="200"/>
        <w:rPr>
          <w:rFonts w:hint="eastAsia" w:ascii="黑体" w:hAnsi="黑体" w:eastAsia="黑体"/>
          <w:sz w:val="32"/>
          <w:szCs w:val="32"/>
        </w:rPr>
      </w:pPr>
      <w:r>
        <w:rPr>
          <w:rFonts w:hint="eastAsia" w:ascii="黑体" w:hAnsi="黑体" w:eastAsia="黑体"/>
          <w:sz w:val="32"/>
          <w:szCs w:val="32"/>
          <w:lang w:val="en-US" w:eastAsia="zh-CN"/>
        </w:rPr>
        <w:t>二、</w:t>
      </w:r>
      <w:r>
        <w:rPr>
          <w:rFonts w:hint="eastAsia" w:ascii="黑体" w:hAnsi="黑体" w:eastAsia="黑体"/>
          <w:sz w:val="32"/>
          <w:szCs w:val="32"/>
        </w:rPr>
        <w:t>投标人资格要求</w:t>
      </w:r>
      <w:r>
        <w:rPr>
          <w:rFonts w:hint="eastAsia" w:ascii="黑体" w:hAnsi="黑体" w:eastAsia="黑体"/>
          <w:sz w:val="32"/>
          <w:szCs w:val="32"/>
          <w:lang w:val="en-US" w:eastAsia="zh-CN"/>
        </w:rPr>
        <w:t>（证明材料盖章）</w:t>
      </w:r>
    </w:p>
    <w:p w14:paraId="635C5E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rPr>
        <w:t>（一）提供在中华人民共和国境内注册的法人或其他组织的营业执照或事业单位法人证书或社会团体法人登记证书复印件。</w:t>
      </w:r>
      <w:r>
        <w:rPr>
          <w:rFonts w:hint="eastAsia" w:ascii="仿宋_GB2312" w:hAnsi="黑体" w:eastAsia="仿宋_GB2312"/>
          <w:sz w:val="32"/>
          <w:szCs w:val="32"/>
          <w:lang w:val="en-US" w:eastAsia="zh-CN"/>
        </w:rPr>
        <w:t xml:space="preserve"> </w:t>
      </w:r>
    </w:p>
    <w:p w14:paraId="48F034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（二）本项目不接受联合体投标，不允许转包，不接受分包。</w:t>
      </w:r>
    </w:p>
    <w:p w14:paraId="1FFF5C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（三）参与本项目投标前三年内，在经营活动中没有重大违法记录（由</w:t>
      </w:r>
      <w:r>
        <w:rPr>
          <w:rFonts w:hint="eastAsia" w:ascii="仿宋_GB2312" w:hAnsi="黑体" w:eastAsia="仿宋_GB2312"/>
          <w:sz w:val="32"/>
          <w:szCs w:val="32"/>
          <w:lang w:eastAsia="zh-CN"/>
        </w:rPr>
        <w:t>投标人</w:t>
      </w:r>
      <w:r>
        <w:rPr>
          <w:rFonts w:hint="eastAsia" w:ascii="仿宋_GB2312" w:hAnsi="黑体" w:eastAsia="仿宋_GB2312"/>
          <w:sz w:val="32"/>
          <w:szCs w:val="32"/>
        </w:rPr>
        <w:t>做出声明）。</w:t>
      </w:r>
    </w:p>
    <w:p w14:paraId="3A1E4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sz w:val="32"/>
          <w:szCs w:val="32"/>
        </w:rPr>
      </w:pPr>
      <w:r>
        <w:rPr>
          <w:rFonts w:hint="eastAsia" w:ascii="仿宋_GB2312" w:hAnsi="黑体" w:eastAsia="仿宋_GB2312"/>
          <w:sz w:val="32"/>
          <w:szCs w:val="32"/>
        </w:rPr>
        <w:t>（四）参与本项目政府采购活动时不存在被有关部门禁止参与政府采购活动且在有效期内的情况（由</w:t>
      </w:r>
      <w:r>
        <w:rPr>
          <w:rFonts w:hint="eastAsia" w:ascii="仿宋_GB2312" w:hAnsi="黑体" w:eastAsia="仿宋_GB2312"/>
          <w:sz w:val="32"/>
          <w:szCs w:val="32"/>
          <w:lang w:eastAsia="zh-CN"/>
        </w:rPr>
        <w:t>投标人</w:t>
      </w:r>
      <w:r>
        <w:rPr>
          <w:rFonts w:hint="eastAsia" w:ascii="仿宋_GB2312" w:hAnsi="黑体" w:eastAsia="仿宋_GB2312"/>
          <w:sz w:val="32"/>
          <w:szCs w:val="32"/>
        </w:rPr>
        <w:t>做出声明）。</w:t>
      </w:r>
    </w:p>
    <w:p w14:paraId="0F1E9F9A">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（五）未被列入失信被执行人、重大税收违法案件当事人名单、政府采购严重违法失信行为记录名单（由</w:t>
      </w:r>
      <w:r>
        <w:rPr>
          <w:rFonts w:hint="eastAsia" w:ascii="仿宋_GB2312" w:hAnsi="黑体" w:eastAsia="仿宋_GB2312"/>
          <w:sz w:val="32"/>
          <w:szCs w:val="32"/>
          <w:lang w:eastAsia="zh-CN"/>
        </w:rPr>
        <w:t>投标人</w:t>
      </w:r>
      <w:r>
        <w:rPr>
          <w:rFonts w:hint="eastAsia" w:ascii="仿宋_GB2312" w:hAnsi="黑体" w:eastAsia="仿宋_GB2312"/>
          <w:sz w:val="32"/>
          <w:szCs w:val="32"/>
        </w:rPr>
        <w:t>做出声明）。</w:t>
      </w:r>
    </w:p>
    <w:p w14:paraId="420693E5">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注：“信用中国”、“中国政府采购网”、“深圳信用网”以及“深圳市政府采购监管网”为</w:t>
      </w:r>
      <w:r>
        <w:rPr>
          <w:rFonts w:hint="eastAsia" w:ascii="仿宋_GB2312" w:hAnsi="黑体" w:eastAsia="仿宋_GB2312"/>
          <w:sz w:val="32"/>
          <w:szCs w:val="32"/>
          <w:lang w:eastAsia="zh-CN"/>
        </w:rPr>
        <w:t>投标人</w:t>
      </w:r>
      <w:r>
        <w:rPr>
          <w:rFonts w:hint="eastAsia" w:ascii="仿宋_GB2312" w:hAnsi="黑体" w:eastAsia="仿宋_GB2312"/>
          <w:sz w:val="32"/>
          <w:szCs w:val="32"/>
        </w:rPr>
        <w:t>信用信息的查询渠道，相关信息以开标当日的查询结果为准。</w:t>
      </w:r>
    </w:p>
    <w:p w14:paraId="3BF00E97">
      <w:pPr>
        <w:spacing w:line="560" w:lineRule="exact"/>
        <w:ind w:firstLine="640" w:firstLineChars="200"/>
        <w:rPr>
          <w:rFonts w:hint="eastAsia" w:ascii="仿宋_GB2312" w:hAnsi="黑体" w:eastAsia="仿宋_GB2312"/>
          <w:sz w:val="32"/>
          <w:szCs w:val="32"/>
          <w:lang w:eastAsia="zh-CN"/>
        </w:rPr>
      </w:pPr>
      <w:r>
        <w:rPr>
          <w:rFonts w:hint="eastAsia" w:ascii="仿宋_GB2312" w:hAnsi="黑体" w:eastAsia="仿宋_GB2312"/>
          <w:sz w:val="32"/>
          <w:szCs w:val="32"/>
        </w:rPr>
        <w:t>（六）</w:t>
      </w:r>
      <w:r>
        <w:rPr>
          <w:rFonts w:hint="eastAsia" w:ascii="仿宋_GB2312" w:hAnsi="黑体" w:eastAsia="仿宋_GB2312"/>
          <w:sz w:val="32"/>
          <w:szCs w:val="32"/>
          <w:lang w:val="en-US" w:eastAsia="zh-CN"/>
        </w:rPr>
        <w:t>投标人、法人</w:t>
      </w:r>
      <w:r>
        <w:rPr>
          <w:rFonts w:hint="eastAsia" w:ascii="仿宋_GB2312" w:hAnsi="黑体" w:eastAsia="仿宋_GB2312"/>
          <w:sz w:val="32"/>
          <w:szCs w:val="32"/>
        </w:rPr>
        <w:t>不存在与参加本项目的其它</w:t>
      </w:r>
      <w:r>
        <w:rPr>
          <w:rFonts w:hint="eastAsia" w:ascii="仿宋_GB2312" w:hAnsi="黑体" w:eastAsia="仿宋_GB2312"/>
          <w:sz w:val="32"/>
          <w:szCs w:val="32"/>
          <w:lang w:eastAsia="zh-CN"/>
        </w:rPr>
        <w:t>投标人</w:t>
      </w:r>
      <w:r>
        <w:rPr>
          <w:rFonts w:hint="eastAsia" w:ascii="仿宋_GB2312" w:hAnsi="黑体" w:eastAsia="仿宋_GB2312"/>
          <w:sz w:val="32"/>
          <w:szCs w:val="32"/>
        </w:rPr>
        <w:t>单位负责人为同一人或者存在直接控股、管理关系。</w:t>
      </w: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提供近一个月社保缴纳证明</w:t>
      </w:r>
      <w:r>
        <w:rPr>
          <w:rFonts w:hint="eastAsia" w:ascii="仿宋_GB2312" w:hAnsi="黑体" w:eastAsia="仿宋_GB2312"/>
          <w:sz w:val="32"/>
          <w:szCs w:val="32"/>
          <w:lang w:eastAsia="zh-CN"/>
        </w:rPr>
        <w:t>）</w:t>
      </w:r>
    </w:p>
    <w:p w14:paraId="6F2A94D0">
      <w:pPr>
        <w:pStyle w:val="9"/>
        <w:numPr>
          <w:ilvl w:val="0"/>
          <w:numId w:val="0"/>
        </w:numPr>
        <w:spacing w:line="240" w:lineRule="auto"/>
        <w:ind w:left="0" w:leftChars="0" w:firstLine="640" w:firstLineChars="200"/>
        <w:rPr>
          <w:rFonts w:hint="eastAsia" w:ascii="仿宋_GB2312" w:hAnsi="黑体" w:eastAsia="仿宋_GB2312" w:cstheme="minorBidi"/>
          <w:kern w:val="2"/>
          <w:sz w:val="32"/>
          <w:szCs w:val="32"/>
          <w:highlight w:val="none"/>
          <w:lang w:val="en-US" w:eastAsia="zh-CN" w:bidi="ar-SA"/>
          <w14:ligatures w14:val="standardContextual"/>
        </w:rPr>
      </w:pPr>
      <w:r>
        <w:rPr>
          <w:rFonts w:hint="default" w:ascii="仿宋_GB2312" w:hAnsi="黑体" w:eastAsia="仿宋_GB2312" w:cstheme="minorBidi"/>
          <w:kern w:val="2"/>
          <w:sz w:val="32"/>
          <w:szCs w:val="32"/>
          <w:highlight w:val="none"/>
          <w:lang w:val="en-US" w:eastAsia="zh-CN" w:bidi="ar-SA"/>
          <w14:ligatures w14:val="standardContextual"/>
        </w:rPr>
        <w:t>（七）</w:t>
      </w:r>
      <w:r>
        <w:rPr>
          <w:rFonts w:hint="eastAsia" w:ascii="仿宋_GB2312" w:hAnsi="黑体" w:eastAsia="仿宋_GB2312" w:cstheme="minorBidi"/>
          <w:kern w:val="2"/>
          <w:sz w:val="32"/>
          <w:szCs w:val="32"/>
          <w:highlight w:val="none"/>
          <w:lang w:val="en-US" w:eastAsia="zh-CN" w:bidi="ar-SA"/>
          <w14:ligatures w14:val="standardContextual"/>
        </w:rPr>
        <w:t>具有有效的《人力资源服务许可证》和《劳务派遣经营许可证》</w:t>
      </w:r>
      <w:r>
        <w:rPr>
          <w:rFonts w:hint="eastAsia" w:ascii="仿宋_GB2312" w:hAnsi="黑体" w:eastAsia="仿宋_GB2312" w:cstheme="minorBidi"/>
          <w:kern w:val="2"/>
          <w:sz w:val="32"/>
          <w:szCs w:val="32"/>
          <w:lang w:val="en-US" w:eastAsia="zh-CN" w:bidi="ar-SA"/>
          <w14:ligatures w14:val="standardContextual"/>
        </w:rPr>
        <w:t>（提供相关证明扫描件）</w:t>
      </w:r>
      <w:r>
        <w:rPr>
          <w:rFonts w:hint="eastAsia" w:ascii="仿宋_GB2312" w:hAnsi="黑体" w:eastAsia="仿宋_GB2312" w:cstheme="minorBidi"/>
          <w:kern w:val="2"/>
          <w:sz w:val="32"/>
          <w:szCs w:val="32"/>
          <w:highlight w:val="none"/>
          <w:lang w:val="en-US" w:eastAsia="zh-CN" w:bidi="ar-SA"/>
          <w14:ligatures w14:val="standardContextual"/>
        </w:rPr>
        <w:t>。</w:t>
      </w:r>
    </w:p>
    <w:p w14:paraId="1AA62500">
      <w:pPr>
        <w:pStyle w:val="9"/>
        <w:numPr>
          <w:ilvl w:val="0"/>
          <w:numId w:val="0"/>
        </w:numPr>
        <w:spacing w:line="560" w:lineRule="exact"/>
        <w:ind w:left="640" w:leftChars="0"/>
        <w:rPr>
          <w:rFonts w:hint="eastAsia" w:ascii="黑体" w:hAnsi="黑体" w:eastAsia="黑体"/>
          <w:sz w:val="32"/>
          <w:szCs w:val="32"/>
          <w:lang w:val="en-US" w:eastAsia="zh-CN"/>
        </w:rPr>
      </w:pPr>
      <w:r>
        <w:rPr>
          <w:rFonts w:hint="eastAsia" w:ascii="黑体" w:hAnsi="黑体" w:eastAsia="黑体"/>
          <w:sz w:val="32"/>
          <w:szCs w:val="32"/>
          <w:lang w:val="en-US" w:eastAsia="zh-CN"/>
        </w:rPr>
        <w:t>三、服务需求响应</w:t>
      </w:r>
    </w:p>
    <w:p w14:paraId="583D498C">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eastAsiaTheme="minorEastAsia"/>
          <w:lang w:eastAsia="zh-CN"/>
        </w:rPr>
      </w:pPr>
      <w:r>
        <w:rPr>
          <w:rFonts w:hint="eastAsia" w:ascii="仿宋_GB2312" w:hAnsi="黑体" w:eastAsia="仿宋_GB2312"/>
          <w:sz w:val="32"/>
          <w:szCs w:val="32"/>
          <w:lang w:val="en-US" w:eastAsia="zh-CN"/>
        </w:rPr>
        <w:t>投标人须提供自合同签订生效之日起1年的劳务派遣服务。投标人须逐一对以下服务需求作出实质性响应，在报价文件中提供服务方案、人员配置</w:t>
      </w:r>
      <w:bookmarkStart w:id="0" w:name="_GoBack"/>
      <w:bookmarkEnd w:id="0"/>
      <w:r>
        <w:rPr>
          <w:rFonts w:hint="eastAsia" w:ascii="仿宋_GB2312" w:hAnsi="黑体" w:eastAsia="仿宋_GB2312"/>
          <w:sz w:val="32"/>
          <w:szCs w:val="32"/>
          <w:lang w:val="en-US" w:eastAsia="zh-CN"/>
        </w:rPr>
        <w:t>具体如下：</w:t>
      </w:r>
    </w:p>
    <w:p w14:paraId="0940DAC6">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楷体_GB2312" w:hAnsi="黑体" w:eastAsia="楷体_GB2312"/>
          <w:sz w:val="32"/>
          <w:szCs w:val="32"/>
          <w:highlight w:val="none"/>
          <w:lang w:val="en-US" w:eastAsia="zh-CN"/>
        </w:rPr>
      </w:pPr>
      <w:r>
        <w:rPr>
          <w:rFonts w:hint="eastAsia" w:ascii="楷体_GB2312" w:hAnsi="黑体" w:eastAsia="楷体_GB2312"/>
          <w:sz w:val="32"/>
          <w:szCs w:val="32"/>
          <w:highlight w:val="none"/>
        </w:rPr>
        <w:t>（一）</w:t>
      </w:r>
      <w:r>
        <w:rPr>
          <w:rFonts w:hint="eastAsia" w:ascii="楷体_GB2312" w:hAnsi="黑体" w:eastAsia="楷体_GB2312"/>
          <w:sz w:val="32"/>
          <w:szCs w:val="32"/>
          <w:highlight w:val="none"/>
          <w:lang w:val="en-US" w:eastAsia="zh-CN"/>
        </w:rPr>
        <w:t>人员派遣与管理服务</w:t>
      </w:r>
    </w:p>
    <w:p w14:paraId="4D27249A">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w:t>
      </w:r>
      <w:r>
        <w:rPr>
          <w:rFonts w:hint="eastAsia" w:ascii="仿宋_GB2312" w:hAnsi="黑体" w:eastAsia="仿宋_GB2312"/>
          <w:b/>
          <w:bCs/>
          <w:sz w:val="32"/>
          <w:szCs w:val="32"/>
          <w:lang w:val="en-US" w:eastAsia="zh-CN"/>
        </w:rPr>
        <w:t>全流程管理：</w:t>
      </w:r>
      <w:r>
        <w:rPr>
          <w:rFonts w:hint="eastAsia" w:ascii="仿宋_GB2312" w:hAnsi="黑体" w:eastAsia="仿宋_GB2312"/>
          <w:sz w:val="32"/>
          <w:szCs w:val="32"/>
          <w:lang w:val="en-US" w:eastAsia="zh-CN"/>
        </w:rPr>
        <w:t>投标人须根据采购单位岗位需求，负责完成适配人员的筛选、资格审查、面试组织、入职体检办理、到岗手续办理、岗前培训及后续人员清退等全流程管理服务。</w:t>
      </w:r>
    </w:p>
    <w:p w14:paraId="3A623DFE">
      <w:pPr>
        <w:keepNext w:val="0"/>
        <w:keepLines w:val="0"/>
        <w:pageBreakBefore w:val="0"/>
        <w:widowControl w:val="0"/>
        <w:kinsoku/>
        <w:wordWrap/>
        <w:overflowPunct/>
        <w:topLinePunct w:val="0"/>
        <w:autoSpaceDE/>
        <w:autoSpaceDN/>
        <w:bidi w:val="0"/>
        <w:snapToGrid/>
        <w:spacing w:line="560" w:lineRule="exact"/>
        <w:ind w:firstLine="643" w:firstLineChars="200"/>
        <w:textAlignment w:val="auto"/>
        <w:rPr>
          <w:rFonts w:hint="eastAsia" w:eastAsiaTheme="minorEastAsia"/>
          <w:lang w:eastAsia="zh-CN"/>
        </w:rPr>
      </w:pPr>
      <w:r>
        <w:rPr>
          <w:rFonts w:hint="eastAsia" w:ascii="仿宋_GB2312" w:hAnsi="黑体" w:eastAsia="仿宋_GB2312"/>
          <w:b/>
          <w:bCs/>
          <w:sz w:val="32"/>
          <w:szCs w:val="32"/>
          <w:lang w:val="en-US" w:eastAsia="zh-CN"/>
        </w:rPr>
        <w:t>2.人员保障：</w:t>
      </w:r>
      <w:r>
        <w:rPr>
          <w:rFonts w:hint="eastAsia" w:ascii="仿宋_GB2312" w:hAnsi="黑体" w:eastAsia="仿宋_GB2312"/>
          <w:sz w:val="32"/>
          <w:szCs w:val="32"/>
          <w:lang w:val="en-US" w:eastAsia="zh-CN"/>
        </w:rPr>
        <w:t>若派遣人员因考核不合格、不符合岗位要求，或因自身原因无法履行岗位职责，投标人须及时安排人员接替或重新完成派遣，保障采购单位正常工作不受影响。</w:t>
      </w:r>
    </w:p>
    <w:p w14:paraId="7F10F6F4">
      <w:pPr>
        <w:pStyle w:val="2"/>
        <w:keepNext w:val="0"/>
        <w:keepLines w:val="0"/>
        <w:pageBreakBefore w:val="0"/>
        <w:widowControl w:val="0"/>
        <w:numPr>
          <w:ilvl w:val="0"/>
          <w:numId w:val="0"/>
        </w:numPr>
        <w:kinsoku/>
        <w:wordWrap/>
        <w:overflowPunct/>
        <w:topLinePunct w:val="0"/>
        <w:autoSpaceDE/>
        <w:autoSpaceDN/>
        <w:bidi w:val="0"/>
        <w:snapToGrid/>
        <w:spacing w:before="0" w:after="0" w:line="560" w:lineRule="exact"/>
        <w:ind w:left="0" w:leftChars="0" w:firstLine="643" w:firstLineChars="200"/>
        <w:textAlignment w:val="auto"/>
        <w:rPr>
          <w:rFonts w:hint="eastAsia" w:ascii="仿宋_GB2312" w:hAnsi="黑体" w:eastAsia="仿宋_GB2312"/>
          <w:sz w:val="32"/>
          <w:szCs w:val="32"/>
          <w:lang w:val="en-US" w:eastAsia="zh-CN"/>
        </w:rPr>
      </w:pPr>
      <w:r>
        <w:rPr>
          <w:rFonts w:hint="eastAsia" w:ascii="仿宋_GB2312" w:hAnsi="黑体" w:eastAsia="仿宋_GB2312"/>
          <w:b/>
          <w:bCs/>
          <w:sz w:val="32"/>
          <w:szCs w:val="32"/>
          <w:lang w:val="en-US" w:eastAsia="zh-CN"/>
        </w:rPr>
        <w:t>3.日常对接：</w:t>
      </w:r>
      <w:r>
        <w:rPr>
          <w:rFonts w:hint="eastAsia" w:ascii="仿宋_GB2312" w:hAnsi="黑体" w:eastAsia="仿宋_GB2312"/>
          <w:sz w:val="32"/>
          <w:szCs w:val="32"/>
          <w:lang w:val="en-US" w:eastAsia="zh-CN"/>
        </w:rPr>
        <w:t>投标人须配备专职对接人员，负责与采购单位职能部门对接日常管理事务，确保沟通顺畅、管理指令的有效执行。</w:t>
      </w:r>
    </w:p>
    <w:p w14:paraId="24993459">
      <w:pPr>
        <w:pStyle w:val="2"/>
        <w:keepNext w:val="0"/>
        <w:keepLines w:val="0"/>
        <w:pageBreakBefore w:val="0"/>
        <w:widowControl w:val="0"/>
        <w:numPr>
          <w:ilvl w:val="0"/>
          <w:numId w:val="0"/>
        </w:numPr>
        <w:kinsoku/>
        <w:wordWrap/>
        <w:overflowPunct/>
        <w:topLinePunct w:val="0"/>
        <w:autoSpaceDE/>
        <w:autoSpaceDN/>
        <w:bidi w:val="0"/>
        <w:snapToGrid/>
        <w:spacing w:before="0" w:after="0" w:line="560" w:lineRule="exact"/>
        <w:ind w:left="0" w:leftChars="0" w:firstLine="643" w:firstLineChars="200"/>
        <w:textAlignment w:val="auto"/>
        <w:rPr>
          <w:rFonts w:hint="eastAsia" w:ascii="仿宋_GB2312" w:hAnsi="黑体" w:eastAsia="仿宋_GB2312"/>
          <w:sz w:val="32"/>
          <w:szCs w:val="32"/>
          <w:lang w:val="en-US" w:eastAsia="zh-CN"/>
        </w:rPr>
      </w:pPr>
      <w:r>
        <w:rPr>
          <w:rFonts w:hint="eastAsia" w:ascii="仿宋_GB2312" w:hAnsi="黑体" w:eastAsia="仿宋_GB2312"/>
          <w:b/>
          <w:bCs/>
          <w:sz w:val="32"/>
          <w:szCs w:val="32"/>
          <w:lang w:val="en-US" w:eastAsia="zh-CN"/>
        </w:rPr>
        <w:t>4.健全制度：</w:t>
      </w:r>
      <w:r>
        <w:rPr>
          <w:rFonts w:hint="eastAsia" w:ascii="仿宋_GB2312" w:hAnsi="黑体" w:eastAsia="仿宋_GB2312" w:cs="Times New Roman"/>
          <w:sz w:val="32"/>
          <w:szCs w:val="32"/>
          <w:lang w:val="en-US" w:eastAsia="zh-CN"/>
        </w:rPr>
        <w:t>须建立健全人员管理、岗位培训及服务保障制度，派遣人员入职前须将相关材料提交至人力资源部备案。</w:t>
      </w:r>
    </w:p>
    <w:p w14:paraId="6E55CFE3">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楷体_GB2312" w:hAnsi="黑体" w:eastAsia="楷体_GB2312"/>
          <w:sz w:val="32"/>
          <w:szCs w:val="32"/>
          <w:highlight w:val="none"/>
          <w:lang w:val="en-US" w:eastAsia="zh-CN"/>
        </w:rPr>
      </w:pPr>
      <w:r>
        <w:rPr>
          <w:rFonts w:hint="eastAsia" w:ascii="楷体_GB2312" w:hAnsi="黑体" w:eastAsia="楷体_GB2312"/>
          <w:sz w:val="32"/>
          <w:szCs w:val="32"/>
          <w:highlight w:val="none"/>
        </w:rPr>
        <w:t>（二）</w:t>
      </w:r>
      <w:r>
        <w:rPr>
          <w:rFonts w:hint="eastAsia" w:ascii="楷体_GB2312" w:hAnsi="黑体" w:eastAsia="楷体_GB2312"/>
          <w:sz w:val="32"/>
          <w:szCs w:val="32"/>
          <w:highlight w:val="none"/>
          <w:lang w:val="en-US" w:eastAsia="zh-CN"/>
        </w:rPr>
        <w:t>薪酬福利保障服务</w:t>
      </w:r>
    </w:p>
    <w:p w14:paraId="6F216C68">
      <w:pPr>
        <w:pStyle w:val="2"/>
        <w:keepNext w:val="0"/>
        <w:keepLines w:val="0"/>
        <w:pageBreakBefore w:val="0"/>
        <w:widowControl w:val="0"/>
        <w:numPr>
          <w:ilvl w:val="0"/>
          <w:numId w:val="0"/>
        </w:numPr>
        <w:kinsoku/>
        <w:wordWrap/>
        <w:overflowPunct/>
        <w:topLinePunct w:val="0"/>
        <w:autoSpaceDE/>
        <w:autoSpaceDN/>
        <w:bidi w:val="0"/>
        <w:snapToGrid/>
        <w:spacing w:line="560" w:lineRule="exact"/>
        <w:ind w:firstLine="643" w:firstLineChars="200"/>
        <w:textAlignment w:val="auto"/>
        <w:rPr>
          <w:rFonts w:hint="eastAsia" w:ascii="仿宋_GB2312" w:hAnsi="黑体" w:eastAsia="仿宋_GB2312" w:cstheme="minorBidi"/>
          <w:kern w:val="2"/>
          <w:sz w:val="32"/>
          <w:szCs w:val="32"/>
          <w:lang w:val="en-US" w:eastAsia="zh-CN" w:bidi="ar-SA"/>
          <w14:ligatures w14:val="standardContextual"/>
        </w:rPr>
      </w:pPr>
      <w:r>
        <w:rPr>
          <w:rFonts w:hint="eastAsia" w:ascii="仿宋_GB2312" w:hAnsi="黑体" w:eastAsia="仿宋_GB2312" w:cstheme="minorBidi"/>
          <w:b/>
          <w:bCs/>
          <w:kern w:val="2"/>
          <w:sz w:val="32"/>
          <w:szCs w:val="32"/>
          <w:lang w:val="en-US" w:eastAsia="zh-CN" w:bidi="ar-SA"/>
          <w14:ligatures w14:val="standardContextual"/>
        </w:rPr>
        <w:t>5.薪酬发放：</w:t>
      </w:r>
      <w:r>
        <w:rPr>
          <w:rFonts w:hint="eastAsia" w:ascii="仿宋_GB2312" w:hAnsi="黑体" w:eastAsia="仿宋_GB2312" w:cstheme="minorBidi"/>
          <w:kern w:val="2"/>
          <w:sz w:val="32"/>
          <w:szCs w:val="32"/>
          <w:lang w:val="en-US" w:eastAsia="zh-CN" w:bidi="ar-SA"/>
          <w14:ligatures w14:val="standardContextual"/>
        </w:rPr>
        <w:t>投标人须按合同约定时间及采购单位核定标准，及时足额发放派遣人员工资及福利待遇，依法为派遣人员办理社会保险及住房公积金缴存手续，并办理或协助办理相关报销、理赔手续。</w:t>
      </w:r>
    </w:p>
    <w:p w14:paraId="01ABC7F5">
      <w:pPr>
        <w:pStyle w:val="2"/>
        <w:keepNext w:val="0"/>
        <w:keepLines w:val="0"/>
        <w:pageBreakBefore w:val="0"/>
        <w:widowControl w:val="0"/>
        <w:numPr>
          <w:ilvl w:val="0"/>
          <w:numId w:val="0"/>
        </w:numPr>
        <w:kinsoku/>
        <w:wordWrap/>
        <w:overflowPunct/>
        <w:topLinePunct w:val="0"/>
        <w:autoSpaceDE/>
        <w:autoSpaceDN/>
        <w:bidi w:val="0"/>
        <w:snapToGrid/>
        <w:spacing w:line="560" w:lineRule="exact"/>
        <w:ind w:firstLine="643" w:firstLineChars="200"/>
        <w:textAlignment w:val="auto"/>
        <w:rPr>
          <w:rFonts w:hint="eastAsia" w:ascii="仿宋_GB2312" w:hAnsi="黑体" w:eastAsia="仿宋_GB2312" w:cstheme="minorBidi"/>
          <w:kern w:val="2"/>
          <w:sz w:val="32"/>
          <w:szCs w:val="32"/>
          <w:lang w:val="en-US" w:eastAsia="zh-CN" w:bidi="ar-SA"/>
          <w14:ligatures w14:val="standardContextual"/>
        </w:rPr>
      </w:pPr>
      <w:r>
        <w:rPr>
          <w:rFonts w:hint="eastAsia" w:ascii="仿宋_GB2312" w:hAnsi="黑体" w:eastAsia="仿宋_GB2312" w:cstheme="minorBidi"/>
          <w:b/>
          <w:bCs/>
          <w:kern w:val="2"/>
          <w:sz w:val="32"/>
          <w:szCs w:val="32"/>
          <w:lang w:val="en-US" w:eastAsia="zh-CN" w:bidi="ar-SA"/>
          <w14:ligatures w14:val="standardContextual"/>
        </w:rPr>
        <w:t>6.禁止行为：</w:t>
      </w:r>
      <w:r>
        <w:rPr>
          <w:rFonts w:hint="eastAsia" w:ascii="仿宋_GB2312" w:hAnsi="黑体" w:eastAsia="仿宋_GB2312" w:cstheme="minorBidi"/>
          <w:kern w:val="2"/>
          <w:sz w:val="32"/>
          <w:szCs w:val="32"/>
          <w:lang w:val="en-US" w:eastAsia="zh-CN" w:bidi="ar-SA"/>
          <w14:ligatures w14:val="standardContextual"/>
        </w:rPr>
        <w:t>非经采购单位书面通知，投标人不得擅自扣发派遣人员工资福利，不得调整社保、公积金缴付标准。</w:t>
      </w:r>
    </w:p>
    <w:p w14:paraId="07C18959">
      <w:pPr>
        <w:pStyle w:val="2"/>
        <w:keepNext w:val="0"/>
        <w:keepLines w:val="0"/>
        <w:pageBreakBefore w:val="0"/>
        <w:widowControl w:val="0"/>
        <w:numPr>
          <w:ilvl w:val="0"/>
          <w:numId w:val="0"/>
        </w:numPr>
        <w:kinsoku/>
        <w:wordWrap/>
        <w:overflowPunct/>
        <w:topLinePunct w:val="0"/>
        <w:autoSpaceDE/>
        <w:autoSpaceDN/>
        <w:bidi w:val="0"/>
        <w:snapToGrid/>
        <w:spacing w:line="560" w:lineRule="exact"/>
        <w:ind w:firstLine="643" w:firstLineChars="200"/>
        <w:textAlignment w:val="auto"/>
        <w:rPr>
          <w:rFonts w:hint="eastAsia" w:ascii="仿宋_GB2312" w:hAnsi="黑体" w:eastAsia="仿宋_GB2312" w:cstheme="minorBidi"/>
          <w:kern w:val="2"/>
          <w:sz w:val="32"/>
          <w:szCs w:val="32"/>
          <w:lang w:val="en-US" w:eastAsia="zh-CN" w:bidi="ar-SA"/>
          <w14:ligatures w14:val="standardContextual"/>
        </w:rPr>
      </w:pPr>
      <w:r>
        <w:rPr>
          <w:rFonts w:hint="eastAsia" w:ascii="仿宋_GB2312" w:hAnsi="黑体" w:eastAsia="仿宋_GB2312" w:cstheme="minorBidi"/>
          <w:b/>
          <w:bCs/>
          <w:kern w:val="2"/>
          <w:sz w:val="32"/>
          <w:szCs w:val="32"/>
          <w:lang w:val="en-US" w:eastAsia="zh-CN" w:bidi="ar-SA"/>
          <w14:ligatures w14:val="standardContextual"/>
        </w:rPr>
        <w:t>7.挪用责任：</w:t>
      </w:r>
      <w:r>
        <w:rPr>
          <w:rFonts w:hint="eastAsia" w:ascii="仿宋_GB2312" w:hAnsi="黑体" w:eastAsia="仿宋_GB2312" w:cstheme="minorBidi"/>
          <w:kern w:val="2"/>
          <w:sz w:val="32"/>
          <w:szCs w:val="32"/>
          <w:lang w:val="en-US" w:eastAsia="zh-CN" w:bidi="ar-SA"/>
          <w14:ligatures w14:val="standardContextual"/>
        </w:rPr>
        <w:t>若投标人挪用派遣人员工资、社保、公积金及其他福利费用，须承担全部法律责任，采购单位有权中止合同。</w:t>
      </w:r>
    </w:p>
    <w:p w14:paraId="55A9B621">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楷体_GB2312" w:hAnsi="黑体" w:eastAsia="楷体_GB2312"/>
          <w:sz w:val="32"/>
          <w:szCs w:val="32"/>
          <w:highlight w:val="none"/>
        </w:rPr>
      </w:pPr>
      <w:r>
        <w:rPr>
          <w:rFonts w:hint="eastAsia" w:ascii="楷体_GB2312" w:hAnsi="黑体" w:eastAsia="楷体_GB2312"/>
          <w:sz w:val="32"/>
          <w:szCs w:val="32"/>
          <w:highlight w:val="none"/>
        </w:rPr>
        <w:t>（</w:t>
      </w:r>
      <w:r>
        <w:rPr>
          <w:rFonts w:hint="eastAsia" w:ascii="楷体_GB2312" w:hAnsi="黑体" w:eastAsia="楷体_GB2312"/>
          <w:sz w:val="32"/>
          <w:szCs w:val="32"/>
          <w:highlight w:val="none"/>
          <w:lang w:val="en-US" w:eastAsia="zh-CN"/>
        </w:rPr>
        <w:t>三</w:t>
      </w:r>
      <w:r>
        <w:rPr>
          <w:rFonts w:hint="eastAsia" w:ascii="楷体_GB2312" w:hAnsi="黑体" w:eastAsia="楷体_GB2312"/>
          <w:sz w:val="32"/>
          <w:szCs w:val="32"/>
          <w:highlight w:val="none"/>
        </w:rPr>
        <w:t>）风险责任</w:t>
      </w:r>
      <w:r>
        <w:rPr>
          <w:rFonts w:hint="eastAsia" w:ascii="楷体_GB2312" w:hAnsi="黑体" w:eastAsia="楷体_GB2312"/>
          <w:sz w:val="32"/>
          <w:szCs w:val="32"/>
          <w:highlight w:val="none"/>
          <w:lang w:val="en-US" w:eastAsia="zh-CN"/>
        </w:rPr>
        <w:t>承担</w:t>
      </w:r>
      <w:r>
        <w:rPr>
          <w:rFonts w:hint="eastAsia" w:ascii="楷体_GB2312" w:hAnsi="黑体" w:eastAsia="楷体_GB2312"/>
          <w:sz w:val="32"/>
          <w:szCs w:val="32"/>
          <w:highlight w:val="none"/>
        </w:rPr>
        <w:t>服务</w:t>
      </w:r>
    </w:p>
    <w:p w14:paraId="6F847804">
      <w:pPr>
        <w:pStyle w:val="2"/>
        <w:keepNext w:val="0"/>
        <w:keepLines w:val="0"/>
        <w:pageBreakBefore w:val="0"/>
        <w:widowControl w:val="0"/>
        <w:numPr>
          <w:ilvl w:val="0"/>
          <w:numId w:val="0"/>
        </w:numPr>
        <w:kinsoku/>
        <w:wordWrap/>
        <w:overflowPunct/>
        <w:topLinePunct w:val="0"/>
        <w:autoSpaceDE/>
        <w:autoSpaceDN/>
        <w:bidi w:val="0"/>
        <w:snapToGrid/>
        <w:spacing w:line="560" w:lineRule="exact"/>
        <w:ind w:firstLine="643" w:firstLineChars="200"/>
        <w:textAlignment w:val="auto"/>
        <w:rPr>
          <w:rFonts w:hint="eastAsia" w:ascii="仿宋_GB2312" w:hAnsi="黑体" w:eastAsia="仿宋_GB2312" w:cs="Times New Roman"/>
          <w:sz w:val="32"/>
          <w:szCs w:val="32"/>
          <w:lang w:val="en-US" w:eastAsia="zh-CN"/>
        </w:rPr>
      </w:pPr>
      <w:r>
        <w:rPr>
          <w:rFonts w:hint="eastAsia" w:ascii="仿宋_GB2312" w:hAnsi="黑体" w:eastAsia="仿宋_GB2312" w:cs="Times New Roman"/>
          <w:b/>
          <w:bCs/>
          <w:sz w:val="32"/>
          <w:szCs w:val="32"/>
          <w:lang w:val="en-US" w:eastAsia="zh-CN"/>
        </w:rPr>
        <w:t>8.主体责任：</w:t>
      </w:r>
      <w:r>
        <w:rPr>
          <w:rFonts w:hint="eastAsia" w:ascii="仿宋_GB2312" w:hAnsi="黑体" w:eastAsia="仿宋_GB2312" w:cs="Times New Roman"/>
          <w:sz w:val="32"/>
          <w:szCs w:val="32"/>
          <w:lang w:val="en-US" w:eastAsia="zh-CN"/>
        </w:rPr>
        <w:t>投标人须承担派遣人员的管理主体责任及用工风险，协助处理劳动争议、劳资纠纷。</w:t>
      </w:r>
    </w:p>
    <w:p w14:paraId="603568D2">
      <w:pPr>
        <w:pStyle w:val="2"/>
        <w:keepNext w:val="0"/>
        <w:keepLines w:val="0"/>
        <w:pageBreakBefore w:val="0"/>
        <w:widowControl w:val="0"/>
        <w:numPr>
          <w:ilvl w:val="0"/>
          <w:numId w:val="0"/>
        </w:numPr>
        <w:kinsoku/>
        <w:wordWrap/>
        <w:overflowPunct/>
        <w:topLinePunct w:val="0"/>
        <w:autoSpaceDE/>
        <w:autoSpaceDN/>
        <w:bidi w:val="0"/>
        <w:snapToGrid/>
        <w:spacing w:line="560" w:lineRule="exact"/>
        <w:ind w:firstLine="643" w:firstLineChars="200"/>
        <w:textAlignment w:val="auto"/>
        <w:rPr>
          <w:rFonts w:hint="eastAsia" w:ascii="仿宋_GB2312" w:hAnsi="黑体" w:eastAsia="仿宋_GB2312" w:cs="Times New Roman"/>
          <w:sz w:val="32"/>
          <w:szCs w:val="32"/>
          <w:lang w:val="en-US" w:eastAsia="zh-CN"/>
        </w:rPr>
      </w:pPr>
      <w:r>
        <w:rPr>
          <w:rFonts w:hint="eastAsia" w:ascii="仿宋_GB2312" w:hAnsi="黑体" w:eastAsia="仿宋_GB2312" w:cs="Times New Roman"/>
          <w:b/>
          <w:bCs/>
          <w:sz w:val="32"/>
          <w:szCs w:val="32"/>
          <w:lang w:val="en-US" w:eastAsia="zh-CN"/>
        </w:rPr>
        <w:t>9.过失责任</w:t>
      </w:r>
      <w:r>
        <w:rPr>
          <w:rFonts w:hint="eastAsia" w:ascii="仿宋_GB2312" w:hAnsi="黑体" w:eastAsia="仿宋_GB2312" w:cs="Times New Roman"/>
          <w:sz w:val="32"/>
          <w:szCs w:val="32"/>
          <w:lang w:val="en-US" w:eastAsia="zh-CN"/>
        </w:rPr>
        <w:t>：若派遣人员因工作失职、故意行为或违法犯罪行为给采购单位造成损失，投标人除协助处理该派遣人员相关事宜外，还应承担相应的管理责任。</w:t>
      </w:r>
    </w:p>
    <w:p w14:paraId="51386FA9">
      <w:pPr>
        <w:keepNext w:val="0"/>
        <w:keepLines w:val="0"/>
        <w:pageBreakBefore w:val="0"/>
        <w:widowControl w:val="0"/>
        <w:kinsoku/>
        <w:wordWrap/>
        <w:overflowPunct/>
        <w:topLinePunct w:val="0"/>
        <w:autoSpaceDE/>
        <w:autoSpaceDN/>
        <w:bidi w:val="0"/>
        <w:snapToGrid/>
        <w:spacing w:line="560" w:lineRule="exact"/>
        <w:ind w:firstLine="643" w:firstLineChars="200"/>
        <w:textAlignment w:val="auto"/>
        <w:rPr>
          <w:rFonts w:hint="eastAsia" w:ascii="仿宋_GB2312" w:hAnsi="黑体" w:eastAsia="仿宋_GB2312" w:cs="Times New Roman"/>
          <w:kern w:val="2"/>
          <w:sz w:val="32"/>
          <w:szCs w:val="32"/>
          <w:lang w:val="en-US" w:eastAsia="zh-CN" w:bidi="ar-SA"/>
          <w14:ligatures w14:val="none"/>
        </w:rPr>
      </w:pPr>
      <w:r>
        <w:rPr>
          <w:rFonts w:hint="eastAsia" w:ascii="仿宋_GB2312" w:hAnsi="黑体" w:eastAsia="仿宋_GB2312" w:cs="Times New Roman"/>
          <w:b/>
          <w:bCs/>
          <w:kern w:val="2"/>
          <w:sz w:val="32"/>
          <w:szCs w:val="32"/>
          <w:lang w:val="en-US" w:eastAsia="zh-CN" w:bidi="ar-SA"/>
          <w14:ligatures w14:val="none"/>
        </w:rPr>
        <w:t>10.自身过错：</w:t>
      </w:r>
      <w:r>
        <w:rPr>
          <w:rFonts w:hint="eastAsia" w:ascii="仿宋_GB2312" w:hAnsi="黑体" w:eastAsia="仿宋_GB2312" w:cs="Times New Roman"/>
          <w:kern w:val="2"/>
          <w:sz w:val="32"/>
          <w:szCs w:val="32"/>
          <w:lang w:val="en-US" w:eastAsia="zh-CN" w:bidi="ar-SA"/>
          <w14:ligatures w14:val="none"/>
        </w:rPr>
        <w:t>因投标人自身原因导致纠纷扩大或未减小采购单位损失的，由投标人承担相应责任；因投标人自身原因引发的所有纠纷，由投标人负完全责任。</w:t>
      </w:r>
    </w:p>
    <w:p w14:paraId="04D6F0ED">
      <w:pPr>
        <w:keepNext w:val="0"/>
        <w:keepLines w:val="0"/>
        <w:pageBreakBefore w:val="0"/>
        <w:widowControl w:val="0"/>
        <w:kinsoku/>
        <w:wordWrap/>
        <w:overflowPunct/>
        <w:topLinePunct w:val="0"/>
        <w:autoSpaceDE/>
        <w:autoSpaceDN/>
        <w:bidi w:val="0"/>
        <w:snapToGrid/>
        <w:spacing w:line="560" w:lineRule="exact"/>
        <w:ind w:firstLine="643" w:firstLineChars="200"/>
        <w:textAlignment w:val="auto"/>
        <w:rPr>
          <w:rFonts w:hint="eastAsia" w:ascii="仿宋_GB2312" w:hAnsi="黑体" w:eastAsia="仿宋_GB2312" w:cs="Times New Roman"/>
          <w:kern w:val="2"/>
          <w:sz w:val="32"/>
          <w:szCs w:val="32"/>
          <w:lang w:val="en-US" w:eastAsia="zh-CN" w:bidi="ar-SA"/>
          <w14:ligatures w14:val="none"/>
        </w:rPr>
      </w:pPr>
      <w:r>
        <w:rPr>
          <w:rFonts w:hint="eastAsia" w:ascii="仿宋_GB2312" w:hAnsi="黑体" w:eastAsia="仿宋_GB2312" w:cs="Times New Roman"/>
          <w:b/>
          <w:bCs/>
          <w:kern w:val="2"/>
          <w:sz w:val="32"/>
          <w:szCs w:val="32"/>
          <w:lang w:val="en-US" w:eastAsia="zh-CN" w:bidi="ar-SA"/>
          <w14:ligatures w14:val="none"/>
        </w:rPr>
        <w:t>11.意外处理：</w:t>
      </w:r>
      <w:r>
        <w:rPr>
          <w:rFonts w:hint="eastAsia" w:ascii="仿宋_GB2312" w:hAnsi="黑体" w:eastAsia="仿宋_GB2312" w:cs="Times New Roman"/>
          <w:kern w:val="2"/>
          <w:sz w:val="32"/>
          <w:szCs w:val="32"/>
          <w:lang w:val="en-US" w:eastAsia="zh-CN" w:bidi="ar-SA"/>
          <w14:ligatures w14:val="none"/>
        </w:rPr>
        <w:t>劳务派遣人员非工作时间发生人身意外或其他纠纷，由投标人负责处理。</w:t>
      </w:r>
    </w:p>
    <w:p w14:paraId="1596788A">
      <w:pPr>
        <w:keepNext w:val="0"/>
        <w:keepLines w:val="0"/>
        <w:pageBreakBefore w:val="0"/>
        <w:widowControl w:val="0"/>
        <w:kinsoku/>
        <w:wordWrap/>
        <w:overflowPunct/>
        <w:topLinePunct w:val="0"/>
        <w:autoSpaceDE/>
        <w:autoSpaceDN/>
        <w:bidi w:val="0"/>
        <w:snapToGrid/>
        <w:spacing w:line="560" w:lineRule="exact"/>
        <w:textAlignment w:val="auto"/>
      </w:pPr>
    </w:p>
    <w:p w14:paraId="2894721A">
      <w:pPr>
        <w:keepNext w:val="0"/>
        <w:keepLines w:val="0"/>
        <w:pageBreakBefore w:val="0"/>
        <w:widowControl w:val="0"/>
        <w:kinsoku/>
        <w:wordWrap/>
        <w:overflowPunct/>
        <w:topLinePunct w:val="0"/>
        <w:autoSpaceDE/>
        <w:autoSpaceDN/>
        <w:bidi w:val="0"/>
        <w:snapToGrid/>
        <w:spacing w:line="560" w:lineRule="exact"/>
        <w:textAlignment w:val="auto"/>
      </w:pPr>
    </w:p>
    <w:p w14:paraId="3ED8A881">
      <w:pPr>
        <w:pStyle w:val="9"/>
        <w:keepNext w:val="0"/>
        <w:keepLines w:val="0"/>
        <w:pageBreakBefore w:val="0"/>
        <w:widowControl w:val="0"/>
        <w:kinsoku/>
        <w:wordWrap/>
        <w:overflowPunct/>
        <w:topLinePunct w:val="0"/>
        <w:autoSpaceDE/>
        <w:autoSpaceDN/>
        <w:bidi w:val="0"/>
        <w:snapToGrid/>
        <w:spacing w:line="560" w:lineRule="exact"/>
        <w:ind w:left="0"/>
        <w:jc w:val="right"/>
        <w:textAlignment w:val="auto"/>
        <w:rPr>
          <w:rFonts w:ascii="仿宋_GB2312" w:hAnsi="黑体" w:eastAsia="仿宋_GB2312"/>
          <w:sz w:val="32"/>
          <w:szCs w:val="32"/>
        </w:rPr>
      </w:pPr>
      <w:r>
        <w:rPr>
          <w:rFonts w:hint="eastAsia" w:ascii="仿宋_GB2312" w:hAnsi="黑体" w:eastAsia="仿宋_GB2312"/>
          <w:sz w:val="32"/>
          <w:szCs w:val="32"/>
        </w:rPr>
        <w:t>人力资源部</w:t>
      </w:r>
    </w:p>
    <w:p w14:paraId="355EDEF4">
      <w:pPr>
        <w:pStyle w:val="9"/>
        <w:keepNext w:val="0"/>
        <w:keepLines w:val="0"/>
        <w:pageBreakBefore w:val="0"/>
        <w:widowControl w:val="0"/>
        <w:kinsoku/>
        <w:wordWrap/>
        <w:overflowPunct/>
        <w:topLinePunct w:val="0"/>
        <w:autoSpaceDE/>
        <w:autoSpaceDN/>
        <w:bidi w:val="0"/>
        <w:snapToGrid/>
        <w:spacing w:line="560" w:lineRule="exact"/>
        <w:ind w:left="0"/>
        <w:jc w:val="right"/>
        <w:textAlignment w:val="auto"/>
      </w:pPr>
      <w:r>
        <w:rPr>
          <w:rFonts w:ascii="仿宋_GB2312" w:hAnsi="黑体" w:eastAsia="仿宋_GB2312"/>
          <w:sz w:val="32"/>
          <w:szCs w:val="32"/>
        </w:rPr>
        <w:t>202</w:t>
      </w:r>
      <w:r>
        <w:rPr>
          <w:rFonts w:hint="eastAsia" w:ascii="仿宋_GB2312" w:hAnsi="黑体" w:eastAsia="仿宋_GB2312"/>
          <w:sz w:val="32"/>
          <w:szCs w:val="32"/>
          <w:lang w:val="en-US" w:eastAsia="zh-CN"/>
        </w:rPr>
        <w:t>6</w:t>
      </w:r>
      <w:r>
        <w:rPr>
          <w:rFonts w:ascii="仿宋_GB2312" w:hAnsi="黑体" w:eastAsia="仿宋_GB2312"/>
          <w:sz w:val="32"/>
          <w:szCs w:val="32"/>
        </w:rPr>
        <w:t>年</w:t>
      </w:r>
      <w:r>
        <w:rPr>
          <w:rFonts w:hint="eastAsia" w:ascii="仿宋_GB2312" w:hAnsi="黑体" w:eastAsia="仿宋_GB2312"/>
          <w:sz w:val="32"/>
          <w:szCs w:val="32"/>
          <w:lang w:val="en-US" w:eastAsia="zh-CN"/>
        </w:rPr>
        <w:t>9</w:t>
      </w:r>
      <w:r>
        <w:rPr>
          <w:rFonts w:ascii="仿宋_GB2312" w:hAnsi="黑体" w:eastAsia="仿宋_GB2312"/>
          <w:sz w:val="32"/>
          <w:szCs w:val="32"/>
        </w:rPr>
        <w:t>月</w:t>
      </w:r>
      <w:r>
        <w:rPr>
          <w:rFonts w:hint="eastAsia" w:ascii="仿宋_GB2312" w:hAnsi="黑体" w:eastAsia="仿宋_GB2312"/>
          <w:sz w:val="32"/>
          <w:szCs w:val="32"/>
          <w:lang w:val="en-US" w:eastAsia="zh-CN"/>
        </w:rPr>
        <w:t>9</w:t>
      </w:r>
      <w:r>
        <w:rPr>
          <w:rFonts w:ascii="仿宋_GB2312" w:hAnsi="黑体" w:eastAsia="仿宋_GB2312"/>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E7E793C-4E50-44CC-A7AF-474B0DC123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BBC4C455-2A89-4F6D-858E-3C1DC528349B}"/>
  </w:font>
  <w:font w:name="仿宋_GB2312">
    <w:panose1 w:val="02010609030101010101"/>
    <w:charset w:val="86"/>
    <w:family w:val="modern"/>
    <w:pitch w:val="default"/>
    <w:sig w:usb0="00000001" w:usb1="080E0000" w:usb2="00000000" w:usb3="00000000" w:csb0="00040000" w:csb1="00000000"/>
    <w:embedRegular r:id="rId3" w:fontKey="{389C7910-48A5-4147-856D-5D6AE4C91F7F}"/>
  </w:font>
  <w:font w:name="楷体_GB2312">
    <w:panose1 w:val="02010609030101010101"/>
    <w:charset w:val="86"/>
    <w:family w:val="modern"/>
    <w:pitch w:val="default"/>
    <w:sig w:usb0="00000001" w:usb1="080E0000" w:usb2="00000000" w:usb3="00000000" w:csb0="00040000" w:csb1="00000000"/>
    <w:embedRegular r:id="rId4" w:fontKey="{74D380A4-8173-42D1-8A74-82E2918AEF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D33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77831">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F77831">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7134C"/>
    <w:multiLevelType w:val="multilevel"/>
    <w:tmpl w:val="0C07134C"/>
    <w:lvl w:ilvl="0" w:tentative="0">
      <w:start w:val="1"/>
      <w:numFmt w:val="japaneseCounting"/>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B36146"/>
    <w:rsid w:val="091F4D27"/>
    <w:rsid w:val="09B07E99"/>
    <w:rsid w:val="0A0D4EA4"/>
    <w:rsid w:val="0A514B12"/>
    <w:rsid w:val="0B7A075E"/>
    <w:rsid w:val="0E9F74E5"/>
    <w:rsid w:val="0FC87CEA"/>
    <w:rsid w:val="108654B0"/>
    <w:rsid w:val="116A6B7F"/>
    <w:rsid w:val="12FB4D13"/>
    <w:rsid w:val="13333DAC"/>
    <w:rsid w:val="13365A47"/>
    <w:rsid w:val="14791424"/>
    <w:rsid w:val="14C45D3C"/>
    <w:rsid w:val="158A65B6"/>
    <w:rsid w:val="1F022795"/>
    <w:rsid w:val="24942439"/>
    <w:rsid w:val="25CB455E"/>
    <w:rsid w:val="26960BDD"/>
    <w:rsid w:val="2C92725E"/>
    <w:rsid w:val="2F511D30"/>
    <w:rsid w:val="30EA788D"/>
    <w:rsid w:val="32755658"/>
    <w:rsid w:val="3B531CF4"/>
    <w:rsid w:val="3C1D5751"/>
    <w:rsid w:val="414C4E51"/>
    <w:rsid w:val="43122677"/>
    <w:rsid w:val="43615785"/>
    <w:rsid w:val="44D50992"/>
    <w:rsid w:val="45F05372"/>
    <w:rsid w:val="482A346A"/>
    <w:rsid w:val="48C401B8"/>
    <w:rsid w:val="4F6D3A47"/>
    <w:rsid w:val="505C2D85"/>
    <w:rsid w:val="548B08B3"/>
    <w:rsid w:val="56AE7383"/>
    <w:rsid w:val="593001D6"/>
    <w:rsid w:val="5D8C0448"/>
    <w:rsid w:val="5E474BAD"/>
    <w:rsid w:val="6000326B"/>
    <w:rsid w:val="60F15F42"/>
    <w:rsid w:val="62BD432E"/>
    <w:rsid w:val="634360B0"/>
    <w:rsid w:val="652819A9"/>
    <w:rsid w:val="6E361438"/>
    <w:rsid w:val="71832358"/>
    <w:rsid w:val="723906C9"/>
    <w:rsid w:val="72B36146"/>
    <w:rsid w:val="7682346D"/>
    <w:rsid w:val="77DE44C8"/>
    <w:rsid w:val="7BEB5610"/>
    <w:rsid w:val="7C3A0345"/>
    <w:rsid w:val="7D441543"/>
    <w:rsid w:val="7EBA60B3"/>
    <w:rsid w:val="7F0F87B5"/>
    <w:rsid w:val="7FFC23FC"/>
    <w:rsid w:val="BED24DC8"/>
    <w:rsid w:val="EFFD2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1283</Words>
  <Characters>1310</Characters>
  <Lines>0</Lines>
  <Paragraphs>0</Paragraphs>
  <TotalTime>2</TotalTime>
  <ScaleCrop>false</ScaleCrop>
  <LinksUpToDate>false</LinksUpToDate>
  <CharactersWithSpaces>1311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2025-03-22T02:35:00Z</dcterms:created>
  <dc:creator>6+0</dc:creator>
  <cp:lastModifiedBy>婷婷</cp:lastModifiedBy>
  <cp:lastPrinted>2026-08-29T01:38:00Z</cp:lastPrinted>
  <dcterms:modified xsi:type="dcterms:W3CDTF">2026-09-11T00:29:11Z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69F258B0340547D9BB3AC7DD139F88CD_13</vt:lpwstr>
  </property>
  <property fmtid="{D5CDD505-2E9C-101B-9397-08002B2CF9AE}" pid="4" name="KSOTemplateDocerSaveRecord">
    <vt:lpwstr>eyJoZGlkIjoiZGJjNmJkYzg2ZDMwNDc0MGE0NTdmYTZlNjE2YWEwMGIiLCJ1c2VySWQiOiIxNzE4MjcwNDgyIn0=</vt:lpwstr>
  </property>
</Properties>
</file>